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FB" w:rsidRPr="00F30CFB" w:rsidRDefault="00F30CFB" w:rsidP="00F30CFB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bookmarkStart w:id="0" w:name="_GoBack"/>
      <w:r w:rsidRPr="00F30C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ТЕХНОЛОГІЧНИЙ РЕГЛАМЕНТ ДЛЯ ПІДПРИЄМСТВА ПИТНОГО ВОДОПОСТАЧАННЯ</w:t>
      </w:r>
    </w:p>
    <w:bookmarkEnd w:id="0"/>
    <w:p w:rsidR="00F30CFB" w:rsidRPr="00F30CFB" w:rsidRDefault="00F30CFB" w:rsidP="00F30CFB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Як відомо,  питна вода, перед тим, як потрапити до споживача, проходить де який путь між джерелом, з якого вона видобувається, до водопровідного крану на розвідній мережі, через необхідні етапи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>. Це може бути знезараження  з метою запобігання бактеріального забруднення, очищення від надлишків мінеральних складових,  а іноді, навпроти, додаткова мінералізація.  Дуже важливо, щоби на своєму шляху до споживача, вода не  втратила свої властивості та якісні показники.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Всі етапи видобування, оброблення, транспортування та розподіл питної води між споживачами є складовими технологічного процесу виробництва питної  води, який повинен здійснюватися с дотриманням вимог чинного законодавства.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Діючими нормативними законодавчими  актами передбачено, що основним технічним документом для підприємств, які надають послуги з централізованого питного водопостачання (та водовідведення), є Технологічний регламент.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Необхідність його розробки передбачена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2.2.4-171-10 «Гігієнічні вимоги до води питної, призначеної для споживання людиною» (п. 3.10), де зазначено: «Виробництво питної води здійснюється за нормативно-технічним документом  та  відповідно до технологічного регламенту  або  іншого  документа з описом технологічного процесу виробництва питної води, що пройшли державну санітарно-епідеміологічну   експертизу   та   отримали  позитивний висновок». Також, відповідно до постанови Національної комісії, що здійснює державне регулювання у сфері комунальних послуг № 279 від 10.08.2012 р. (розділ 3.4.1) суб’єкти господарювання, які здійснюють централізоване водопостачання, повинні мати технологічний регламент з експлуатації споруд та мереж централізованого водопостачання, затверджений керівником суб’єкта господарювання.  Наявність технологічного регламенту є обов’язковою вимогою для отримання ліцензії для здійснення господарської діяльності в сфері  централізованого водопостачання та водовідведення  згідно п.2, п/п 4)  Постанови Національної комісії, що здійснює державне регулювання у сферах енергетики та комунальних послуг №307 від 22.03.2017 «Про затвердження Ліцензійних умов провадження господарської діяльності з централізованого водопостачання та централізованого водовідведення»</w:t>
      </w:r>
      <w:r w:rsidRPr="005156A1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uk-UA"/>
        </w:rPr>
        <w:t>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uk-UA"/>
        </w:rPr>
        <w:t>      </w:t>
      </w: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В Миколаївський області, за результатами заходів державного нагляду (контролю)  об’єктів водопостачання  (водопроводів), проведених, спеціалістами Головного управління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Миколаївській області,  встановлено: лише 11,5% водопроводів, розташованих в Миколаївський області мають технологічні регламенти на виробництво питної води (63 водопроводи з 550).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В тих підприємствах, де в  наявності,  технологічні регламенти,  вони за вмістом не відповідають вимогам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2.2.4-171-10 «Гігієнічні вимоги до </w:t>
      </w:r>
      <w:r w:rsidRPr="005156A1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води питної, призначеної для споживання людиною» та не узгоджені, як то вимагає чинне законодавство, робочі програми відомчого контролю складені з порушенням санітарних вимог    щодо періодичності контролю та переліку необхідних для дослідження показників.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Технологічний регламент повинен включати повний детальний опис технологічного процесу виробництва питної води та показники якості питної води, що виробляється підприємством та надається споживачу. Зокрема, характеристики системи водопостачання в цілому та її окремих частин, очисних споруд, насосних станцій, розподільної мережі та її окремих частин.  В тому числі,  наявних установок доочищення питної води, що більш притаманне для сільських водопроводів, при цьому регламент повинен включати необхідний порядок здійснення технічного обслуговування установок, тобто, заміни фільтрів, промивок трубопроводів та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ємностей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тощо. Також, регламент,  обов’язкової, повинен включати робочу програму виробничого контролю, складену у повній відповідності до вимог розділу 4 </w:t>
      </w:r>
      <w:proofErr w:type="spellStart"/>
      <w:r w:rsidRPr="005156A1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2.2.4-171-10 «Гігієнічні вимоги до води питної, призначеної для споживання людиною», відносно  типу контролю, переліку показників, що досліджуються, періодичності та вибору місць контролю.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Кожен технологічний регламент повинен бути узгоджений в установленому чинним законодавством  порядку з отриманням  висновку державної санітарно-епідеміологічної експертизи відсутній.     Затверджений та узгоджений з усіма необхідними установами технологічний регламент повинен точно виконуватися експлуатуючими службами, він є підставою для виконання всіх видів робіт з експлуатації, поточного та капітального ремонту, технологічного, фізико-хімічного і бактеріологічного контролю за роботою всього водоочисного комплексу та його окремих елементів.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Технологічні регламенти підлягають обов’язковому перегляду і узгодженню в разі внесення змін в технологічний процес видобування підготовки та передання споживачу воді.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15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отримання консультації, щодо розробки Технологічного регламенту,  Ви можете звертатись до Управління державного нагляду за дотриманням санітарного законодавства Головного управління </w:t>
      </w:r>
      <w:proofErr w:type="spellStart"/>
      <w:r w:rsidRPr="005156A1">
        <w:rPr>
          <w:rFonts w:ascii="Times New Roman" w:hAnsi="Times New Roman" w:cs="Times New Roman"/>
          <w:b/>
          <w:sz w:val="28"/>
          <w:szCs w:val="28"/>
          <w:lang w:val="uk-UA"/>
        </w:rPr>
        <w:t>Держпродспоживслужби</w:t>
      </w:r>
      <w:proofErr w:type="spellEnd"/>
      <w:r w:rsidRPr="00515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Миколаївській області за </w:t>
      </w:r>
      <w:proofErr w:type="spellStart"/>
      <w:r w:rsidRPr="005156A1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Pr="005156A1">
        <w:rPr>
          <w:rFonts w:ascii="Times New Roman" w:hAnsi="Times New Roman" w:cs="Times New Roman"/>
          <w:b/>
          <w:sz w:val="28"/>
          <w:szCs w:val="28"/>
          <w:lang w:val="uk-UA"/>
        </w:rPr>
        <w:t>: м. Миколаїв, вул. Кузнецька, 192, телефон 70-94-36</w:t>
      </w:r>
    </w:p>
    <w:p w:rsidR="00F30CFB" w:rsidRPr="005156A1" w:rsidRDefault="00F30CFB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6A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22121" w:rsidRPr="005156A1" w:rsidRDefault="00422121" w:rsidP="00F30CF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2121" w:rsidRPr="005156A1" w:rsidSect="0042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FB"/>
    <w:rsid w:val="00422121"/>
    <w:rsid w:val="005156A1"/>
    <w:rsid w:val="00F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10B16-25F5-4C51-8CF9-D07DD82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21"/>
  </w:style>
  <w:style w:type="paragraph" w:styleId="1">
    <w:name w:val="heading 1"/>
    <w:basedOn w:val="a"/>
    <w:link w:val="10"/>
    <w:uiPriority w:val="9"/>
    <w:qFormat/>
    <w:rsid w:val="00F30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C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0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30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Админ</cp:lastModifiedBy>
  <cp:revision>2</cp:revision>
  <dcterms:created xsi:type="dcterms:W3CDTF">2020-06-17T10:37:00Z</dcterms:created>
  <dcterms:modified xsi:type="dcterms:W3CDTF">2020-06-17T10:37:00Z</dcterms:modified>
</cp:coreProperties>
</file>